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30" w:rsidRDefault="001B4030" w:rsidP="003E2E87">
      <w:pPr>
        <w:jc w:val="center"/>
        <w:rPr>
          <w:rFonts w:ascii="Trebuchet MS" w:eastAsiaTheme="minorEastAsia" w:hAnsi="Trebuchet MS"/>
          <w:b/>
          <w:bCs/>
          <w:color w:val="0083CB"/>
          <w:kern w:val="24"/>
          <w:sz w:val="28"/>
          <w:szCs w:val="28"/>
        </w:rPr>
      </w:pPr>
    </w:p>
    <w:p w:rsidR="003E2E87" w:rsidRPr="003E2E87" w:rsidRDefault="003E2E87" w:rsidP="001B4030">
      <w:pPr>
        <w:rPr>
          <w:sz w:val="28"/>
          <w:szCs w:val="28"/>
          <w:lang w:eastAsia="en-GB"/>
        </w:rPr>
      </w:pPr>
      <w:r w:rsidRPr="003E2E87">
        <w:rPr>
          <w:rFonts w:ascii="Trebuchet MS" w:eastAsiaTheme="minorEastAsia" w:hAnsi="Trebuchet MS"/>
          <w:b/>
          <w:bCs/>
          <w:color w:val="0083CB"/>
          <w:kern w:val="24"/>
          <w:sz w:val="28"/>
          <w:szCs w:val="28"/>
        </w:rPr>
        <w:t>Permanence for looked after children</w:t>
      </w:r>
    </w:p>
    <w:p w:rsidR="003E2E87" w:rsidRPr="003E2E87" w:rsidRDefault="003E2E87" w:rsidP="003E2E87">
      <w:pPr>
        <w:jc w:val="both"/>
        <w:rPr>
          <w:rFonts w:ascii="Trebuchet MS" w:eastAsia="Times New Roman" w:hAnsi="Trebuchet MS"/>
          <w:color w:val="191A42"/>
          <w:szCs w:val="24"/>
          <w:lang w:eastAsia="en-GB"/>
        </w:rPr>
      </w:pPr>
      <w:r w:rsidRPr="003E2E87">
        <w:rPr>
          <w:rFonts w:ascii="Trebuchet MS" w:eastAsia="Times New Roman" w:hAnsi="Trebuchet MS"/>
          <w:color w:val="191A42"/>
          <w:szCs w:val="24"/>
          <w:lang w:eastAsia="en-GB"/>
        </w:rPr>
        <w:t>One of the aims of the CELCIS Permanence and Care Team (</w:t>
      </w:r>
      <w:proofErr w:type="spellStart"/>
      <w:r w:rsidRPr="003E2E87">
        <w:rPr>
          <w:rFonts w:ascii="Trebuchet MS" w:eastAsia="Times New Roman" w:hAnsi="Trebuchet MS"/>
          <w:color w:val="191A42"/>
          <w:szCs w:val="24"/>
          <w:lang w:eastAsia="en-GB"/>
        </w:rPr>
        <w:t>PaCT</w:t>
      </w:r>
      <w:proofErr w:type="spellEnd"/>
      <w:r w:rsidRPr="003E2E87">
        <w:rPr>
          <w:rFonts w:ascii="Trebuchet MS" w:eastAsia="Times New Roman" w:hAnsi="Trebuchet MS"/>
          <w:color w:val="191A42"/>
          <w:szCs w:val="24"/>
          <w:lang w:eastAsia="en-GB"/>
        </w:rPr>
        <w:t xml:space="preserve">) is to promote a common understanding of the concept of permanence and permanence planning across Scotland. To date there is no single universally agreed definition of permanence. As Schofield and colleagues (2012: 244) explain: </w:t>
      </w:r>
    </w:p>
    <w:p w:rsidR="003E2E87" w:rsidRPr="003C1B93" w:rsidRDefault="003E2E87" w:rsidP="003E2E87">
      <w:pPr>
        <w:pStyle w:val="Quote"/>
        <w:rPr>
          <w:rFonts w:ascii="Trebuchet MS" w:hAnsi="Trebuchet MS" w:cstheme="minorHAnsi"/>
          <w:sz w:val="22"/>
          <w:lang w:eastAsia="en-GB"/>
        </w:rPr>
      </w:pPr>
      <w:r w:rsidRPr="003C1B93">
        <w:rPr>
          <w:rFonts w:ascii="Trebuchet MS" w:hAnsi="Trebuchet MS" w:cstheme="minorHAnsi"/>
          <w:sz w:val="22"/>
          <w:lang w:eastAsia="en-GB"/>
        </w:rPr>
        <w:t xml:space="preserve"> “The goal of permanence for children separated from their birth families and in the care of the state has dominated child care policy in the UK, the USA and Canada since the 1980s, but the meanings of permanence in terms of stability, emotional security and family membership into adulthood are complex and the placements and legal status thought best able to achieve permanence are contested.” (244)</w:t>
      </w:r>
    </w:p>
    <w:p w:rsidR="003E2E87" w:rsidRPr="003E2E87" w:rsidRDefault="003E2E87" w:rsidP="003E2E87">
      <w:pPr>
        <w:jc w:val="both"/>
        <w:rPr>
          <w:rFonts w:ascii="Trebuchet MS" w:eastAsia="Times New Roman" w:hAnsi="Trebuchet MS"/>
          <w:color w:val="191A42"/>
          <w:szCs w:val="24"/>
          <w:lang w:eastAsia="en-GB"/>
        </w:rPr>
      </w:pPr>
      <w:r w:rsidRPr="003E2E87">
        <w:rPr>
          <w:rFonts w:ascii="Trebuchet MS" w:eastAsia="Times New Roman" w:hAnsi="Trebuchet MS"/>
          <w:color w:val="191A42"/>
          <w:szCs w:val="24"/>
          <w:lang w:eastAsia="en-GB"/>
        </w:rPr>
        <w:t xml:space="preserve">In this paper we provide a short definition of permanence in order to clarify the </w:t>
      </w:r>
      <w:proofErr w:type="spellStart"/>
      <w:r w:rsidRPr="003E2E87">
        <w:rPr>
          <w:rFonts w:ascii="Trebuchet MS" w:eastAsia="Times New Roman" w:hAnsi="Trebuchet MS"/>
          <w:color w:val="191A42"/>
          <w:szCs w:val="24"/>
          <w:lang w:eastAsia="en-GB"/>
        </w:rPr>
        <w:t>PaCT’s</w:t>
      </w:r>
      <w:proofErr w:type="spellEnd"/>
      <w:r w:rsidRPr="003E2E87">
        <w:rPr>
          <w:rFonts w:ascii="Trebuchet MS" w:eastAsia="Times New Roman" w:hAnsi="Trebuchet MS"/>
          <w:color w:val="191A42"/>
          <w:szCs w:val="24"/>
          <w:lang w:eastAsia="en-GB"/>
        </w:rPr>
        <w:t xml:space="preserve"> position within these debates. A more comprehensive review of the concept of permanence will be provided in a literature review to be published by </w:t>
      </w:r>
      <w:proofErr w:type="spellStart"/>
      <w:r w:rsidRPr="003E2E87">
        <w:rPr>
          <w:rFonts w:ascii="Trebuchet MS" w:eastAsia="Times New Roman" w:hAnsi="Trebuchet MS"/>
          <w:color w:val="191A42"/>
          <w:szCs w:val="24"/>
          <w:lang w:eastAsia="en-GB"/>
        </w:rPr>
        <w:t>PacT</w:t>
      </w:r>
      <w:proofErr w:type="spellEnd"/>
      <w:r w:rsidRPr="003E2E87">
        <w:rPr>
          <w:rFonts w:ascii="Trebuchet MS" w:eastAsia="Times New Roman" w:hAnsi="Trebuchet MS"/>
          <w:color w:val="191A42"/>
          <w:szCs w:val="24"/>
          <w:lang w:eastAsia="en-GB"/>
        </w:rPr>
        <w:t xml:space="preserve"> later in the year. </w:t>
      </w:r>
    </w:p>
    <w:p w:rsidR="003E2E87" w:rsidRPr="003E2E87" w:rsidRDefault="003E2E87" w:rsidP="001B4030">
      <w:pPr>
        <w:rPr>
          <w:rFonts w:ascii="Trebuchet MS" w:hAnsi="Trebuchet MS"/>
          <w:lang w:eastAsia="en-GB"/>
        </w:rPr>
      </w:pPr>
      <w:r w:rsidRPr="003E2E87">
        <w:rPr>
          <w:rFonts w:ascii="Trebuchet MS" w:eastAsiaTheme="minorEastAsia" w:hAnsi="Trebuchet MS"/>
          <w:b/>
          <w:bCs/>
          <w:color w:val="0083CB"/>
          <w:kern w:val="24"/>
          <w:sz w:val="28"/>
          <w:szCs w:val="28"/>
        </w:rPr>
        <w:t>What is permanence and permanence planning?</w:t>
      </w:r>
    </w:p>
    <w:p w:rsidR="003E2E87" w:rsidRPr="003E2E87" w:rsidRDefault="003E2E87" w:rsidP="003E2E87">
      <w:pPr>
        <w:jc w:val="both"/>
        <w:rPr>
          <w:rFonts w:ascii="Trebuchet MS" w:hAnsi="Trebuchet MS"/>
          <w:szCs w:val="24"/>
          <w:lang w:eastAsia="en-GB"/>
        </w:rPr>
      </w:pPr>
      <w:r w:rsidRPr="003E2E87">
        <w:rPr>
          <w:rFonts w:ascii="Trebuchet MS" w:eastAsia="Times New Roman" w:hAnsi="Trebuchet MS"/>
          <w:color w:val="191A42"/>
          <w:szCs w:val="24"/>
          <w:lang w:eastAsia="en-GB"/>
        </w:rPr>
        <w:t xml:space="preserve">The concept of ‘permanence’ for looked after children came into prominence in the 1970’s and 1980’s following concerns that looked after children were drifting in care without a clear plan or purposive action being taken to help them </w:t>
      </w:r>
      <w:r w:rsidRPr="003E2E87">
        <w:rPr>
          <w:rFonts w:ascii="Trebuchet MS" w:eastAsia="Times New Roman" w:hAnsi="Trebuchet MS"/>
          <w:color w:val="191A42"/>
          <w:szCs w:val="24"/>
          <w:lang w:eastAsia="en-GB"/>
        </w:rPr>
        <w:fldChar w:fldCharType="begin"/>
      </w:r>
      <w:r w:rsidRPr="003E2E87">
        <w:rPr>
          <w:rFonts w:ascii="Trebuchet MS" w:eastAsia="Times New Roman" w:hAnsi="Trebuchet MS"/>
          <w:color w:val="191A42"/>
          <w:szCs w:val="24"/>
          <w:lang w:eastAsia="en-GB"/>
        </w:rPr>
        <w:instrText xml:space="preserve"> ADDIN EN.CITE &lt;EndNote&gt;&lt;Cite&gt;&lt;Author&gt;Tilbury&lt;/Author&gt;&lt;Year&gt;2006&lt;/Year&gt;&lt;IDText&gt;Permanency Planning in Foster Care: A Research Review and Guidelines for Practitioners&lt;/IDText&gt;&lt;DisplayText&gt;(Tilbury and Osmond, 2006, Schofield et al., 2012)&lt;/DisplayText&gt;&lt;record&gt;&lt;urls&gt;&lt;related-urls&gt;&lt;url&gt;http://dx.doi.org/10.1080/03124070600833055&lt;/url&gt;&lt;/related-urls&gt;&lt;/urls&gt;&lt;titles&gt;&lt;title&gt;Permanency Planning in Foster Care: A Research Review and Guidelines for Practitioners&lt;/title&gt;&lt;secondary-title&gt;Australian Social Work&lt;/secondary-title&gt;&lt;/titles&gt;&lt;pages&gt;256-80&lt;/pages&gt;&lt;number&gt;3&lt;/number&gt;&lt;contributors&gt;&lt;authors&gt;&lt;author&gt;Tilbury, Clare&lt;/author&gt;&lt;author&gt;Osmond, Jennifer&lt;/author&gt;&lt;/authors&gt;&lt;/contributors&gt;&lt;added-date format="utc"&gt;1355330051&lt;/added-date&gt;&lt;ref-type name="Journal Article"&gt;17&lt;/ref-type&gt;&lt;dates&gt;&lt;year&gt;2006&lt;/year&gt;&lt;/dates&gt;&lt;rec-number&gt;500&lt;/rec-number&gt;&lt;last-updated-date format="utc"&gt;1355330129&lt;/last-updated-date&gt;&lt;volume&gt;59&lt;/volume&gt;&lt;/record&gt;&lt;/Cite&gt;&lt;Cite&gt;&lt;Author&gt;Schofield&lt;/Author&gt;&lt;Year&gt;2012&lt;/Year&gt;&lt;IDText&gt;Part of the family: Planning for permanence in long-term family foster care&lt;/IDText&gt;&lt;record&gt;&lt;dates&gt;&lt;pub-dates&gt;&lt;date&gt;Jan&lt;/date&gt;&lt;/pub-dates&gt;&lt;year&gt;2012&lt;/year&gt;&lt;/dates&gt;&lt;urls&gt;&lt;related-urls&gt;&lt;url&gt;&amp;lt;Go to ISI&amp;gt;://WOS:000300334700031&lt;/url&gt;&lt;/related-urls&gt;&lt;/urls&gt;&lt;isbn&gt;0190-7409&lt;/isbn&gt;&lt;titles&gt;&lt;title&gt;Part of the family: Planning for permanence in long-term family foster care&lt;/title&gt;&lt;secondary-title&gt;Children and Youth Services Review&lt;/secondary-title&gt;&lt;/titles&gt;&lt;number&gt;1&lt;/number&gt;&lt;contributors&gt;&lt;authors&gt;&lt;author&gt;Schofield, Gillian&lt;/author&gt;&lt;author&gt;Beek, Mary&lt;/author&gt;&lt;author&gt;Ward, Emma&lt;/author&gt;&lt;/authors&gt;&lt;/contributors&gt;&lt;added-date format="utc"&gt;1354878358&lt;/added-date&gt;&lt;ref-type name="Journal Article"&gt;17&lt;/ref-type&gt;&lt;rec-number&gt;480&lt;/rec-number&gt;&lt;last-updated-date format="utc"&gt;1354878358&lt;/last-updated-date&gt;&lt;accession-num&gt;WOS:000300334700031&lt;/accession-num&gt;&lt;electronic-resource-num&gt;10.1016/j.childyouth.2011.10.020&lt;/electronic-resource-num&gt;&lt;volume&gt;34&lt;/volume&gt;&lt;/record&gt;&lt;/Cite&gt;&lt;/EndNote&gt;</w:instrText>
      </w:r>
      <w:r w:rsidRPr="003E2E87">
        <w:rPr>
          <w:rFonts w:ascii="Trebuchet MS" w:eastAsia="Times New Roman" w:hAnsi="Trebuchet MS"/>
          <w:color w:val="191A42"/>
          <w:szCs w:val="24"/>
          <w:lang w:eastAsia="en-GB"/>
        </w:rPr>
        <w:fldChar w:fldCharType="separate"/>
      </w:r>
      <w:r w:rsidRPr="003E2E87">
        <w:rPr>
          <w:rFonts w:ascii="Trebuchet MS" w:eastAsia="Times New Roman" w:hAnsi="Trebuchet MS"/>
          <w:noProof/>
          <w:color w:val="191A42"/>
          <w:szCs w:val="24"/>
          <w:lang w:eastAsia="en-GB"/>
        </w:rPr>
        <w:t>(Tilbury and Osmond, 2006, Schofield et al., 2012)</w:t>
      </w:r>
      <w:r w:rsidRPr="003E2E87">
        <w:rPr>
          <w:rFonts w:ascii="Trebuchet MS" w:eastAsia="Times New Roman" w:hAnsi="Trebuchet MS"/>
          <w:color w:val="191A42"/>
          <w:szCs w:val="24"/>
          <w:lang w:eastAsia="en-GB"/>
        </w:rPr>
        <w:fldChar w:fldCharType="end"/>
      </w:r>
      <w:r w:rsidRPr="003E2E87">
        <w:rPr>
          <w:rFonts w:ascii="Trebuchet MS" w:eastAsia="Times New Roman" w:hAnsi="Trebuchet MS"/>
          <w:color w:val="191A42"/>
          <w:szCs w:val="24"/>
          <w:lang w:eastAsia="en-GB"/>
        </w:rPr>
        <w:t xml:space="preserve">. </w:t>
      </w:r>
    </w:p>
    <w:p w:rsidR="003E2E87" w:rsidRPr="003E2E87" w:rsidRDefault="003E2E87" w:rsidP="003E2E87">
      <w:pPr>
        <w:jc w:val="both"/>
        <w:rPr>
          <w:rFonts w:ascii="Trebuchet MS" w:eastAsia="Times New Roman" w:hAnsi="Trebuchet MS"/>
          <w:color w:val="191A42"/>
          <w:szCs w:val="24"/>
          <w:lang w:eastAsia="en-GB"/>
        </w:rPr>
      </w:pPr>
      <w:r w:rsidRPr="003E2E87">
        <w:rPr>
          <w:rFonts w:ascii="Trebuchet MS" w:eastAsia="Times New Roman" w:hAnsi="Trebuchet MS"/>
          <w:color w:val="191A42"/>
          <w:szCs w:val="24"/>
          <w:lang w:eastAsia="en-GB"/>
        </w:rPr>
        <w:t xml:space="preserve">Various authors have noted that permanence includes a number of elements. For example, </w:t>
      </w:r>
      <w:proofErr w:type="spellStart"/>
      <w:r w:rsidRPr="003E2E87">
        <w:rPr>
          <w:rFonts w:ascii="Trebuchet MS" w:eastAsia="Times New Roman" w:hAnsi="Trebuchet MS"/>
          <w:color w:val="191A42"/>
          <w:szCs w:val="24"/>
          <w:lang w:eastAsia="en-GB"/>
        </w:rPr>
        <w:t>Emlen</w:t>
      </w:r>
      <w:proofErr w:type="spellEnd"/>
      <w:r w:rsidRPr="003E2E87">
        <w:rPr>
          <w:rFonts w:ascii="Trebuchet MS" w:eastAsia="Times New Roman" w:hAnsi="Trebuchet MS"/>
          <w:color w:val="191A42"/>
          <w:szCs w:val="24"/>
          <w:lang w:eastAsia="en-GB"/>
        </w:rPr>
        <w:t xml:space="preserve"> (1977 in nrcpfc.org) suggested four elements of permanence planning: intend (the home is intend to last indefinitely); commitment and continuity (the family is committed to the child, makes assumptions of a common future, and provides continuity in the child’s relationships with caretakers and other family members); legal status (definite legal status established) and social status (the family provides the child with a respected social status). Permanence for looked after children occupies multiple dimensions – time (long-term, for life), space (types of placement), relational (family membership, belonging) and theoretical (attachment, child development). Often, the time and space dimensions have been at the forefront of definitions of permanence. </w:t>
      </w:r>
    </w:p>
    <w:p w:rsidR="003E2E87" w:rsidRPr="004467A1" w:rsidRDefault="004467A1" w:rsidP="003E2E87">
      <w:pPr>
        <w:jc w:val="both"/>
        <w:rPr>
          <w:rFonts w:ascii="Trebuchet MS" w:eastAsia="Times New Roman" w:hAnsi="Trebuchet MS"/>
          <w:color w:val="191A42"/>
          <w:szCs w:val="24"/>
          <w:lang w:eastAsia="en-GB"/>
        </w:rPr>
      </w:pPr>
      <w:r w:rsidRPr="004467A1">
        <w:rPr>
          <w:rFonts w:ascii="Trebuchet MS" w:hAnsi="Trebuchet MS" w:cstheme="minorHAnsi"/>
        </w:rPr>
        <w:t xml:space="preserve">Permanence practice includes planning how best to stabilise families before care is needed. </w:t>
      </w:r>
      <w:r w:rsidR="003E2E87" w:rsidRPr="004467A1">
        <w:rPr>
          <w:rFonts w:ascii="Trebuchet MS" w:eastAsia="Times New Roman" w:hAnsi="Trebuchet MS"/>
          <w:color w:val="191A42"/>
          <w:szCs w:val="24"/>
          <w:lang w:eastAsia="en-GB"/>
        </w:rPr>
        <w:t>Permanence planning aims to support children’s reunification with their families following an episode of care</w:t>
      </w:r>
      <w:r>
        <w:rPr>
          <w:rFonts w:ascii="Trebuchet MS" w:eastAsia="Times New Roman" w:hAnsi="Trebuchet MS"/>
          <w:color w:val="191A42"/>
          <w:szCs w:val="24"/>
          <w:lang w:eastAsia="en-GB"/>
        </w:rPr>
        <w:t>. When this is not possible</w:t>
      </w:r>
      <w:r w:rsidR="003E2E87" w:rsidRPr="004467A1">
        <w:rPr>
          <w:rFonts w:ascii="Trebuchet MS" w:eastAsia="Times New Roman" w:hAnsi="Trebuchet MS"/>
          <w:color w:val="191A42"/>
          <w:szCs w:val="24"/>
          <w:lang w:eastAsia="en-GB"/>
        </w:rPr>
        <w:t xml:space="preserve"> its aim becomes to ensure that children have a secure stable and loving family (Schofield et al., 2012).  In the UK, adoption and long-term foster care </w:t>
      </w:r>
      <w:r w:rsidR="00B72685">
        <w:rPr>
          <w:rFonts w:ascii="Trebuchet MS" w:eastAsia="Times New Roman" w:hAnsi="Trebuchet MS"/>
          <w:color w:val="191A42"/>
          <w:szCs w:val="24"/>
          <w:lang w:eastAsia="en-GB"/>
        </w:rPr>
        <w:t>have historically been</w:t>
      </w:r>
      <w:r w:rsidR="003E2E87" w:rsidRPr="004467A1">
        <w:rPr>
          <w:rFonts w:ascii="Trebuchet MS" w:eastAsia="Times New Roman" w:hAnsi="Trebuchet MS"/>
          <w:color w:val="191A42"/>
          <w:szCs w:val="24"/>
          <w:lang w:eastAsia="en-GB"/>
        </w:rPr>
        <w:t xml:space="preserve"> the preferred options to permanence when reunification with birth family is not possible </w:t>
      </w:r>
      <w:r w:rsidR="003E2E87" w:rsidRPr="004467A1">
        <w:rPr>
          <w:rFonts w:ascii="Trebuchet MS" w:eastAsia="Times New Roman" w:hAnsi="Trebuchet MS"/>
          <w:color w:val="191A42"/>
          <w:szCs w:val="24"/>
          <w:lang w:eastAsia="en-GB"/>
        </w:rPr>
        <w:fldChar w:fldCharType="begin"/>
      </w:r>
      <w:r w:rsidR="003E2E87" w:rsidRPr="004467A1">
        <w:rPr>
          <w:rFonts w:ascii="Trebuchet MS" w:eastAsia="Times New Roman" w:hAnsi="Trebuchet MS"/>
          <w:color w:val="191A42"/>
          <w:szCs w:val="24"/>
          <w:lang w:eastAsia="en-GB"/>
        </w:rPr>
        <w:instrText xml:space="preserve"> ADDIN EN.CITE &lt;EndNote&gt;&lt;Cite&gt;&lt;Author&gt;Schofield&lt;/Author&gt;&lt;Year&gt;2012&lt;/Year&gt;&lt;IDText&gt;Part of the family: Planning for permanence in long-term family foster care&lt;/IDText&gt;&lt;DisplayText&gt;(Schofield et al., 2012)&lt;/DisplayText&gt;&lt;record&gt;&lt;dates&gt;&lt;pub-dates&gt;&lt;date&gt;Jan&lt;/date&gt;&lt;/pub-dates&gt;&lt;year&gt;2012&lt;/year&gt;&lt;/dates&gt;&lt;urls&gt;&lt;related-urls&gt;&lt;url&gt;&amp;lt;Go to ISI&amp;gt;://WOS:000300334700031&lt;/url&gt;&lt;/related-urls&gt;&lt;/urls&gt;&lt;isbn&gt;0190-7409&lt;/isbn&gt;&lt;titles&gt;&lt;title&gt;Part of the family: Planning for permanence in long-term family foster care&lt;/title&gt;&lt;secondary-title&gt;Children and Youth Services Review&lt;/secondary-title&gt;&lt;/titles&gt;&lt;number&gt;1&lt;/number&gt;&lt;contributors&gt;&lt;authors&gt;&lt;author&gt;Schofield, Gillian&lt;/author&gt;&lt;author&gt;Beek, Mary&lt;/author&gt;&lt;author&gt;Ward, Emma&lt;/author&gt;&lt;/authors&gt;&lt;/contributors&gt;&lt;added-date format="utc"&gt;1354878358&lt;/added-date&gt;&lt;ref-type name="Journal Article"&gt;17&lt;/ref-type&gt;&lt;rec-number&gt;480&lt;/rec-number&gt;&lt;last-updated-date format="utc"&gt;1354878358&lt;/last-updated-date&gt;&lt;accession-num&gt;WOS:000300334700031&lt;/accession-num&gt;&lt;electronic-resource-num&gt;10.1016/j.childyouth.2011.10.020&lt;/electronic-resource-num&gt;&lt;volume&gt;34&lt;/volume&gt;&lt;/record&gt;&lt;/Cite&gt;&lt;/EndNote&gt;</w:instrText>
      </w:r>
      <w:r w:rsidR="003E2E87" w:rsidRPr="004467A1">
        <w:rPr>
          <w:rFonts w:ascii="Trebuchet MS" w:eastAsia="Times New Roman" w:hAnsi="Trebuchet MS"/>
          <w:color w:val="191A42"/>
          <w:szCs w:val="24"/>
          <w:lang w:eastAsia="en-GB"/>
        </w:rPr>
        <w:fldChar w:fldCharType="separate"/>
      </w:r>
      <w:r w:rsidR="003E2E87" w:rsidRPr="004467A1">
        <w:rPr>
          <w:rFonts w:ascii="Trebuchet MS" w:eastAsia="Times New Roman" w:hAnsi="Trebuchet MS"/>
          <w:noProof/>
          <w:color w:val="191A42"/>
          <w:szCs w:val="24"/>
          <w:lang w:eastAsia="en-GB"/>
        </w:rPr>
        <w:t>(Schofield et al., 2012)</w:t>
      </w:r>
      <w:r w:rsidR="003E2E87" w:rsidRPr="004467A1">
        <w:rPr>
          <w:rFonts w:ascii="Trebuchet MS" w:eastAsia="Times New Roman" w:hAnsi="Trebuchet MS"/>
          <w:color w:val="191A42"/>
          <w:szCs w:val="24"/>
          <w:lang w:eastAsia="en-GB"/>
        </w:rPr>
        <w:fldChar w:fldCharType="end"/>
      </w:r>
      <w:r w:rsidR="003E2E87" w:rsidRPr="004467A1">
        <w:rPr>
          <w:rFonts w:ascii="Trebuchet MS" w:eastAsia="Times New Roman" w:hAnsi="Trebuchet MS"/>
          <w:color w:val="191A42"/>
          <w:szCs w:val="24"/>
          <w:lang w:eastAsia="en-GB"/>
        </w:rPr>
        <w:t xml:space="preserve">. </w:t>
      </w:r>
    </w:p>
    <w:p w:rsidR="001B4030" w:rsidRDefault="003E2E87" w:rsidP="003E2E87">
      <w:pPr>
        <w:jc w:val="both"/>
        <w:rPr>
          <w:rFonts w:ascii="Trebuchet MS" w:eastAsia="Times New Roman" w:hAnsi="Trebuchet MS"/>
          <w:color w:val="191A42"/>
          <w:szCs w:val="24"/>
          <w:lang w:eastAsia="en-GB"/>
        </w:rPr>
      </w:pPr>
      <w:r w:rsidRPr="003E2E87">
        <w:rPr>
          <w:rFonts w:ascii="Trebuchet MS" w:eastAsia="Times New Roman" w:hAnsi="Trebuchet MS"/>
          <w:color w:val="191A42"/>
          <w:szCs w:val="24"/>
          <w:lang w:eastAsia="en-GB"/>
        </w:rPr>
        <w:t xml:space="preserve">Permanence for looked after children is not, however, simply about the type of placement. It is also, and perhaps more importantly, about the continuity and stability of relationships, the quality of care provided to children and a commitment to offering </w:t>
      </w:r>
    </w:p>
    <w:p w:rsidR="001B4030" w:rsidRDefault="001B4030" w:rsidP="003E2E87">
      <w:pPr>
        <w:jc w:val="both"/>
        <w:rPr>
          <w:rFonts w:ascii="Trebuchet MS" w:eastAsia="Times New Roman" w:hAnsi="Trebuchet MS"/>
          <w:color w:val="191A42"/>
          <w:szCs w:val="24"/>
          <w:lang w:eastAsia="en-GB"/>
        </w:rPr>
      </w:pPr>
    </w:p>
    <w:p w:rsidR="003E2E87" w:rsidRPr="003E2E87" w:rsidRDefault="003E2E87" w:rsidP="003E2E87">
      <w:pPr>
        <w:jc w:val="both"/>
        <w:rPr>
          <w:rFonts w:ascii="Trebuchet MS" w:eastAsia="Times New Roman" w:hAnsi="Trebuchet MS"/>
          <w:color w:val="191A42"/>
          <w:szCs w:val="24"/>
          <w:lang w:eastAsia="en-GB"/>
        </w:rPr>
      </w:pPr>
      <w:r w:rsidRPr="003E2E87">
        <w:rPr>
          <w:rFonts w:ascii="Trebuchet MS" w:eastAsia="Times New Roman" w:hAnsi="Trebuchet MS"/>
          <w:color w:val="191A42"/>
          <w:szCs w:val="24"/>
          <w:lang w:eastAsia="en-GB"/>
        </w:rPr>
        <w:t xml:space="preserve">‘family’ membership </w:t>
      </w:r>
      <w:r w:rsidRPr="003E2E87">
        <w:rPr>
          <w:rFonts w:ascii="Trebuchet MS" w:eastAsia="Times New Roman" w:hAnsi="Trebuchet MS"/>
          <w:color w:val="191A42"/>
          <w:szCs w:val="24"/>
          <w:lang w:eastAsia="en-GB"/>
        </w:rPr>
        <w:fldChar w:fldCharType="begin"/>
      </w:r>
      <w:r w:rsidRPr="003E2E87">
        <w:rPr>
          <w:rFonts w:ascii="Trebuchet MS" w:eastAsia="Times New Roman" w:hAnsi="Trebuchet MS"/>
          <w:color w:val="191A42"/>
          <w:szCs w:val="24"/>
          <w:lang w:eastAsia="en-GB"/>
        </w:rPr>
        <w:instrText xml:space="preserve"> ADDIN EN.CITE &lt;EndNote&gt;&lt;Cite&gt;&lt;Author&gt;Tilbury&lt;/Author&gt;&lt;Year&gt;2006&lt;/Year&gt;&lt;IDText&gt;Permanency Planning in Foster Care: A Research Review and Guidelines for Practitioners&lt;/IDText&gt;&lt;DisplayText&gt;(Tilbury and Osmond, 2006, Munro and Hardy, 2006)&lt;/DisplayText&gt;&lt;record&gt;&lt;urls&gt;&lt;related-urls&gt;&lt;url&gt;http://dx.doi.org/10.1080/03124070600833055&lt;/url&gt;&lt;/related-urls&gt;&lt;/urls&gt;&lt;titles&gt;&lt;title&gt;Permanency Planning in Foster Care: A Research Review and Guidelines for Practitioners&lt;/title&gt;&lt;secondary-title&gt;Australian Social Work&lt;/secondary-title&gt;&lt;/titles&gt;&lt;pages&gt;256-80&lt;/pages&gt;&lt;number&gt;3&lt;/number&gt;&lt;contributors&gt;&lt;authors&gt;&lt;author&gt;Tilbury, Clare&lt;/author&gt;&lt;author&gt;Osmond, Jennifer&lt;/author&gt;&lt;/authors&gt;&lt;/contributors&gt;&lt;added-date format="utc"&gt;1355330051&lt;/added-date&gt;&lt;ref-type name="Journal Article"&gt;17&lt;/ref-type&gt;&lt;dates&gt;&lt;year&gt;2006&lt;/year&gt;&lt;/dates&gt;&lt;rec-number&gt;500&lt;/rec-number&gt;&lt;last-updated-date format="utc"&gt;1355330129&lt;/last-updated-date&gt;&lt;volume&gt;59&lt;/volume&gt;&lt;/record&gt;&lt;/Cite&gt;&lt;Cite&gt;&lt;Author&gt;Munro&lt;/Author&gt;&lt;Year&gt;2006&lt;/Year&gt;&lt;IDText&gt;Placement stability - a review of the literature. Report to the DfES&lt;/IDText&gt;&lt;record&gt;&lt;urls&gt;&lt;related-urls&gt;&lt;url&gt;http://www.lboro.ac.uk/research/ccfr/Research/Outcomes%20for%20vulnerable%20children/placementstability.htm&lt;/url&gt;&lt;/related-urls&gt;&lt;/urls&gt;&lt;titles&gt;&lt;title&gt;Placement stability - a review of the literature. Report to the DfES&lt;/title&gt;&lt;/titles&gt;&lt;contributors&gt;&lt;authors&gt;&lt;author&gt;Munro, Emily R.&lt;/author&gt;&lt;author&gt;Hardy, Ainsley&lt;/author&gt;&lt;/authors&gt;&lt;/contributors&gt;&lt;added-date format="utc"&gt;1354292892&lt;/added-date&gt;&lt;pub-location&gt;Loughborough&lt;/pub-location&gt;&lt;ref-type name="Report"&gt;27&lt;/ref-type&gt;&lt;dates&gt;&lt;year&gt;2006&lt;/year&gt;&lt;/dates&gt;&lt;rec-number&gt;431&lt;/rec-number&gt;&lt;publisher&gt;CCFR&lt;/publisher&gt;&lt;last-updated-date format="utc"&gt;1354292951&lt;/last-updated-date&gt;&lt;/record&gt;&lt;/Cite&gt;&lt;/EndNote&gt;</w:instrText>
      </w:r>
      <w:r w:rsidRPr="003E2E87">
        <w:rPr>
          <w:rFonts w:ascii="Trebuchet MS" w:eastAsia="Times New Roman" w:hAnsi="Trebuchet MS"/>
          <w:color w:val="191A42"/>
          <w:szCs w:val="24"/>
          <w:lang w:eastAsia="en-GB"/>
        </w:rPr>
        <w:fldChar w:fldCharType="separate"/>
      </w:r>
      <w:r w:rsidRPr="003E2E87">
        <w:rPr>
          <w:rFonts w:ascii="Trebuchet MS" w:eastAsia="Times New Roman" w:hAnsi="Trebuchet MS"/>
          <w:noProof/>
          <w:color w:val="191A42"/>
          <w:szCs w:val="24"/>
          <w:lang w:eastAsia="en-GB"/>
        </w:rPr>
        <w:t>(Tilbury and Osmond, 2006, Munro and Hardy, 2006)</w:t>
      </w:r>
      <w:r w:rsidRPr="003E2E87">
        <w:rPr>
          <w:rFonts w:ascii="Trebuchet MS" w:eastAsia="Times New Roman" w:hAnsi="Trebuchet MS"/>
          <w:color w:val="191A42"/>
          <w:szCs w:val="24"/>
          <w:lang w:eastAsia="en-GB"/>
        </w:rPr>
        <w:fldChar w:fldCharType="end"/>
      </w:r>
      <w:r w:rsidRPr="003E2E87">
        <w:rPr>
          <w:rFonts w:ascii="Trebuchet MS" w:eastAsia="Times New Roman" w:hAnsi="Trebuchet MS"/>
          <w:color w:val="191A42"/>
          <w:szCs w:val="24"/>
          <w:lang w:eastAsia="en-GB"/>
        </w:rPr>
        <w:t xml:space="preserve">.  Family being understood here in its broadest term to include any individual, group or institution committed to </w:t>
      </w:r>
      <w:r w:rsidR="004467A1">
        <w:rPr>
          <w:rFonts w:ascii="Trebuchet MS" w:eastAsia="Times New Roman" w:hAnsi="Trebuchet MS"/>
          <w:color w:val="191A42"/>
          <w:szCs w:val="24"/>
          <w:lang w:eastAsia="en-GB"/>
        </w:rPr>
        <w:t>foster</w:t>
      </w:r>
      <w:r w:rsidRPr="003E2E87">
        <w:rPr>
          <w:rFonts w:ascii="Trebuchet MS" w:eastAsia="Times New Roman" w:hAnsi="Trebuchet MS"/>
          <w:color w:val="191A42"/>
          <w:szCs w:val="24"/>
          <w:lang w:eastAsia="en-GB"/>
        </w:rPr>
        <w:t xml:space="preserve"> an enduring relationship with the child; and where there is reciprocity of emotional investment and entitlement. Additionally, good quality care and family membership should be underpinned by legal security. </w:t>
      </w:r>
    </w:p>
    <w:p w:rsidR="003E2E87" w:rsidRPr="003E2E87" w:rsidRDefault="003E2E87" w:rsidP="003E2E87">
      <w:pPr>
        <w:jc w:val="both"/>
        <w:rPr>
          <w:rFonts w:ascii="Trebuchet MS" w:eastAsia="Times New Roman" w:hAnsi="Trebuchet MS"/>
          <w:color w:val="191A42"/>
          <w:szCs w:val="24"/>
          <w:lang w:eastAsia="en-GB"/>
        </w:rPr>
      </w:pPr>
      <w:r w:rsidRPr="003E2E87">
        <w:rPr>
          <w:rFonts w:ascii="Trebuchet MS" w:eastAsia="Times New Roman" w:hAnsi="Trebuchet MS"/>
          <w:color w:val="191A42"/>
          <w:szCs w:val="24"/>
          <w:lang w:eastAsia="en-GB"/>
        </w:rPr>
        <w:t xml:space="preserve">It is this understanding of permanence that focuses on the quality of care provided to children and the commitment to offer ‘family’ membership in all care settings that we aim to promote. </w:t>
      </w:r>
    </w:p>
    <w:p w:rsidR="003E2E87" w:rsidRPr="003E2E87" w:rsidRDefault="003E2E87" w:rsidP="003E2E87">
      <w:pPr>
        <w:jc w:val="both"/>
        <w:rPr>
          <w:rFonts w:ascii="Trebuchet MS" w:eastAsia="Times New Roman" w:hAnsi="Trebuchet MS"/>
          <w:color w:val="191A42"/>
          <w:sz w:val="28"/>
          <w:szCs w:val="28"/>
          <w:lang w:eastAsia="en-GB"/>
        </w:rPr>
      </w:pPr>
      <w:r>
        <w:rPr>
          <w:rFonts w:ascii="Trebuchet MS" w:eastAsiaTheme="minorEastAsia" w:hAnsi="Trebuchet MS"/>
          <w:b/>
          <w:bCs/>
          <w:color w:val="0083CB"/>
          <w:kern w:val="24"/>
          <w:sz w:val="28"/>
          <w:szCs w:val="28"/>
        </w:rPr>
        <w:t>References</w:t>
      </w:r>
    </w:p>
    <w:p w:rsidR="003E2E87" w:rsidRDefault="003E2E87" w:rsidP="00AB2B31">
      <w:pPr>
        <w:rPr>
          <w:noProof/>
        </w:rPr>
      </w:pPr>
      <w:r w:rsidRPr="003E2E87">
        <w:fldChar w:fldCharType="begin"/>
      </w:r>
      <w:r w:rsidRPr="003E2E87">
        <w:instrText xml:space="preserve"> ADDIN EN.REFLIST </w:instrText>
      </w:r>
      <w:r w:rsidRPr="003E2E87">
        <w:fldChar w:fldCharType="separate"/>
      </w:r>
      <w:bookmarkStart w:id="0" w:name="_ENREF_1"/>
      <w:r w:rsidRPr="003E2E87">
        <w:rPr>
          <w:noProof/>
        </w:rPr>
        <w:t>MUNRO, E. R. &amp; HARDY, A. 2006. Placement stability - a review of the literature. Report to the DfES. Loughborough: CCFR.</w:t>
      </w:r>
      <w:bookmarkEnd w:id="0"/>
    </w:p>
    <w:p w:rsidR="00BF1E63" w:rsidRPr="003E2E87" w:rsidRDefault="00BF1E63" w:rsidP="00AB2B31">
      <w:pPr>
        <w:rPr>
          <w:noProof/>
        </w:rPr>
      </w:pPr>
      <w:r w:rsidRPr="00AB2B31">
        <w:rPr>
          <w:noProof/>
        </w:rPr>
        <w:t xml:space="preserve">National resource </w:t>
      </w:r>
      <w:r w:rsidRPr="001B4030">
        <w:rPr>
          <w:rFonts w:ascii="Trebuchet MS" w:hAnsi="Trebuchet MS"/>
          <w:noProof/>
        </w:rPr>
        <w:t>center</w:t>
      </w:r>
      <w:r w:rsidRPr="00AB2B31">
        <w:rPr>
          <w:noProof/>
        </w:rPr>
        <w:t xml:space="preserve"> for permanency and family connections </w:t>
      </w:r>
      <w:r>
        <w:rPr>
          <w:i/>
          <w:noProof/>
        </w:rPr>
        <w:t>Module on</w:t>
      </w:r>
      <w:r w:rsidR="002902B9">
        <w:rPr>
          <w:i/>
          <w:noProof/>
        </w:rPr>
        <w:t>e</w:t>
      </w:r>
      <w:r>
        <w:rPr>
          <w:i/>
          <w:noProof/>
        </w:rPr>
        <w:t xml:space="preserve">: principles of permanency, </w:t>
      </w:r>
      <w:r>
        <w:rPr>
          <w:noProof/>
        </w:rPr>
        <w:t xml:space="preserve">Available from: </w:t>
      </w:r>
      <w:r w:rsidRPr="00AB2B31">
        <w:rPr>
          <w:noProof/>
        </w:rPr>
        <w:t>http://www.nrcpfc.org/</w:t>
      </w:r>
    </w:p>
    <w:p w:rsidR="003E2E87" w:rsidRPr="003E2E87" w:rsidRDefault="003E2E87" w:rsidP="00AB2B31">
      <w:pPr>
        <w:rPr>
          <w:noProof/>
        </w:rPr>
      </w:pPr>
      <w:bookmarkStart w:id="1" w:name="_ENREF_2"/>
      <w:r w:rsidRPr="003E2E87">
        <w:rPr>
          <w:noProof/>
        </w:rPr>
        <w:t xml:space="preserve">SCHOFIELD, G., BEEK, M. &amp; WARD, E. 2012. Part of the family: Planning for permanence in long-term family foster care. </w:t>
      </w:r>
      <w:r w:rsidRPr="003E2E87">
        <w:rPr>
          <w:i/>
          <w:noProof/>
        </w:rPr>
        <w:t>Children and Youth Services Review,</w:t>
      </w:r>
      <w:r w:rsidRPr="003E2E87">
        <w:rPr>
          <w:noProof/>
        </w:rPr>
        <w:t xml:space="preserve"> 34.</w:t>
      </w:r>
      <w:bookmarkEnd w:id="1"/>
    </w:p>
    <w:p w:rsidR="003E2E87" w:rsidRPr="001B4030" w:rsidRDefault="003E2E87" w:rsidP="00AB2B31">
      <w:pPr>
        <w:rPr>
          <w:rFonts w:ascii="Trebuchet MS" w:hAnsi="Trebuchet MS"/>
          <w:noProof/>
        </w:rPr>
      </w:pPr>
      <w:bookmarkStart w:id="2" w:name="_ENREF_3"/>
      <w:r w:rsidRPr="003E2E87">
        <w:rPr>
          <w:noProof/>
        </w:rPr>
        <w:t xml:space="preserve">TILBURY, C. &amp; OSMOND, J. 2006. Permanency Planning in Foster Care: A Research Review and Guidelines for Practitioners. </w:t>
      </w:r>
      <w:r w:rsidRPr="003E2E87">
        <w:rPr>
          <w:i/>
          <w:noProof/>
        </w:rPr>
        <w:t>Australian Social Work,</w:t>
      </w:r>
      <w:r w:rsidRPr="003E2E87">
        <w:rPr>
          <w:noProof/>
        </w:rPr>
        <w:t xml:space="preserve"> 59</w:t>
      </w:r>
      <w:r w:rsidRPr="003E2E87">
        <w:rPr>
          <w:b/>
          <w:noProof/>
        </w:rPr>
        <w:t>,</w:t>
      </w:r>
      <w:r w:rsidRPr="003E2E87">
        <w:rPr>
          <w:noProof/>
        </w:rPr>
        <w:t xml:space="preserve"> 256-80.</w:t>
      </w:r>
      <w:bookmarkEnd w:id="2"/>
    </w:p>
    <w:p w:rsidR="00AB2B31" w:rsidRPr="003E2E87" w:rsidRDefault="00AB2B31" w:rsidP="00AB2B31">
      <w:pPr>
        <w:rPr>
          <w:noProof/>
        </w:rPr>
      </w:pPr>
    </w:p>
    <w:p w:rsidR="00F42092" w:rsidRPr="007C4496" w:rsidRDefault="003E2E87" w:rsidP="003E2E87">
      <w:pPr>
        <w:pStyle w:val="ListParagraph"/>
        <w:jc w:val="both"/>
        <w:rPr>
          <w:rFonts w:ascii="Trebuchet MS" w:hAnsi="Trebuchet MS"/>
        </w:rPr>
      </w:pPr>
      <w:r w:rsidRPr="003E2E87">
        <w:rPr>
          <w:rFonts w:ascii="Trebuchet MS" w:hAnsi="Trebuchet MS"/>
          <w:szCs w:val="24"/>
        </w:rPr>
        <w:fldChar w:fldCharType="end"/>
      </w:r>
    </w:p>
    <w:sectPr w:rsidR="00F42092" w:rsidRPr="007C4496" w:rsidSect="003E2E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B52" w:rsidRDefault="00804B52" w:rsidP="00524A6E">
      <w:pPr>
        <w:spacing w:after="0" w:line="240" w:lineRule="auto"/>
      </w:pPr>
      <w:r>
        <w:separator/>
      </w:r>
    </w:p>
  </w:endnote>
  <w:endnote w:type="continuationSeparator" w:id="0">
    <w:p w:rsidR="00804B52" w:rsidRDefault="00804B52" w:rsidP="0052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30" w:rsidRDefault="001B4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87" w:rsidRPr="003E2E87" w:rsidRDefault="003E2E87">
    <w:pPr>
      <w:pStyle w:val="Footer"/>
      <w:jc w:val="right"/>
      <w:rPr>
        <w:color w:val="1F497D" w:themeColor="text2"/>
      </w:rPr>
    </w:pPr>
  </w:p>
  <w:p w:rsidR="003E2E87" w:rsidRPr="007C4496" w:rsidRDefault="003E2E87" w:rsidP="003E2E87">
    <w:pPr>
      <w:tabs>
        <w:tab w:val="center" w:pos="4513"/>
        <w:tab w:val="right" w:pos="9026"/>
      </w:tabs>
      <w:spacing w:after="0" w:line="240" w:lineRule="auto"/>
      <w:jc w:val="right"/>
      <w:rPr>
        <w:rFonts w:ascii="Trebuchet MS" w:eastAsia="Calibri" w:hAnsi="Trebuchet MS" w:cs="Times New Roman"/>
        <w:color w:val="0070C0"/>
      </w:rPr>
    </w:pPr>
    <w:r w:rsidRPr="007C4496">
      <w:rPr>
        <w:rFonts w:ascii="Trebuchet MS" w:eastAsia="Calibri" w:hAnsi="Trebuchet MS" w:cs="Times New Roman"/>
        <w:color w:val="0070C0"/>
      </w:rPr>
      <w:t>Improvi</w:t>
    </w:r>
    <w:r>
      <w:rPr>
        <w:rFonts w:ascii="Trebuchet MS" w:eastAsia="Calibri" w:hAnsi="Trebuchet MS" w:cs="Times New Roman"/>
        <w:color w:val="0070C0"/>
      </w:rPr>
      <w:t>ng care experiences</w:t>
    </w:r>
  </w:p>
  <w:p w:rsidR="007C4496" w:rsidRPr="007C4496" w:rsidRDefault="007C4496" w:rsidP="007C4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87" w:rsidRPr="007C4496" w:rsidRDefault="001B4030" w:rsidP="003E2E87">
    <w:pPr>
      <w:tabs>
        <w:tab w:val="center" w:pos="4513"/>
        <w:tab w:val="right" w:pos="9026"/>
      </w:tabs>
      <w:spacing w:after="0" w:line="240" w:lineRule="auto"/>
      <w:jc w:val="right"/>
      <w:rPr>
        <w:rFonts w:ascii="Trebuchet MS" w:eastAsia="Calibri" w:hAnsi="Trebuchet MS" w:cs="Times New Roman"/>
        <w:color w:val="0070C0"/>
      </w:rPr>
    </w:pPr>
    <w:r>
      <w:rPr>
        <w:rFonts w:ascii="Trebuchet MS" w:eastAsia="Calibri" w:hAnsi="Trebuchet MS" w:cs="Times New Roman"/>
        <w:color w:val="0070C0"/>
      </w:rPr>
      <w:t>Improving care</w:t>
    </w:r>
    <w:r w:rsidR="003E2E87" w:rsidRPr="007C4496">
      <w:rPr>
        <w:rFonts w:ascii="Trebuchet MS" w:eastAsia="Calibri" w:hAnsi="Trebuchet MS" w:cs="Times New Roman"/>
        <w:color w:val="0070C0"/>
      </w:rPr>
      <w:t xml:space="preserve"> experiences</w:t>
    </w:r>
  </w:p>
  <w:p w:rsidR="003E2E87" w:rsidRDefault="003E2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B52" w:rsidRDefault="00804B52" w:rsidP="00524A6E">
      <w:pPr>
        <w:spacing w:after="0" w:line="240" w:lineRule="auto"/>
      </w:pPr>
      <w:r>
        <w:separator/>
      </w:r>
    </w:p>
  </w:footnote>
  <w:footnote w:type="continuationSeparator" w:id="0">
    <w:p w:rsidR="00804B52" w:rsidRDefault="00804B52" w:rsidP="00524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30" w:rsidRDefault="001B4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30" w:rsidRDefault="001B4030">
    <w:pPr>
      <w:pStyle w:val="Header"/>
    </w:pPr>
    <w:r>
      <w:rPr>
        <w:noProof/>
        <w:lang w:eastAsia="en-GB"/>
      </w:rPr>
      <w:softHyphen/>
    </w:r>
    <w:r>
      <w:rPr>
        <w:noProof/>
        <w:lang w:eastAsia="en-GB"/>
      </w:rPr>
      <w:softHyphen/>
    </w:r>
    <w:r>
      <w:rPr>
        <w:noProof/>
        <w:lang w:eastAsia="en-GB"/>
      </w:rPr>
      <w:softHyphen/>
    </w:r>
    <w:r>
      <w:rPr>
        <w:noProof/>
        <w:lang w:eastAsia="en-GB"/>
      </w:rPr>
      <w:softHyphen/>
    </w:r>
    <w:bookmarkStart w:id="3" w:name="_GoBack"/>
    <w:bookmarkEnd w:id="3"/>
    <w:r>
      <w:rPr>
        <w:noProof/>
        <w:lang w:eastAsia="en-GB"/>
      </w:rPr>
      <w:drawing>
        <wp:inline distT="0" distB="0" distL="0" distR="0" wp14:anchorId="7942B66A" wp14:editId="0F5D0549">
          <wp:extent cx="2456984" cy="82813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cis Logo_standard_448x15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262" cy="83463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030" w:rsidRDefault="001B4030">
    <w:pPr>
      <w:pStyle w:val="Header"/>
    </w:pPr>
    <w:r>
      <w:rPr>
        <w:noProof/>
        <w:lang w:eastAsia="en-GB"/>
      </w:rPr>
      <w:drawing>
        <wp:inline distT="0" distB="0" distL="0" distR="0">
          <wp:extent cx="2456984" cy="82813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cis Logo_standard_448x15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6262" cy="8346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10E8"/>
    <w:multiLevelType w:val="hybridMultilevel"/>
    <w:tmpl w:val="73F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802E5"/>
    <w:multiLevelType w:val="hybridMultilevel"/>
    <w:tmpl w:val="91E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B25FCB"/>
    <w:multiLevelType w:val="hybridMultilevel"/>
    <w:tmpl w:val="8B36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34"/>
    <w:rsid w:val="00043C30"/>
    <w:rsid w:val="0007293C"/>
    <w:rsid w:val="00086EE8"/>
    <w:rsid w:val="000901EF"/>
    <w:rsid w:val="000A22BC"/>
    <w:rsid w:val="000F4B0E"/>
    <w:rsid w:val="00154EB8"/>
    <w:rsid w:val="001B4030"/>
    <w:rsid w:val="001E40F2"/>
    <w:rsid w:val="00227834"/>
    <w:rsid w:val="002902B9"/>
    <w:rsid w:val="002E07F3"/>
    <w:rsid w:val="003C1B93"/>
    <w:rsid w:val="003E2E87"/>
    <w:rsid w:val="003E504C"/>
    <w:rsid w:val="004239D8"/>
    <w:rsid w:val="004467A1"/>
    <w:rsid w:val="00460D50"/>
    <w:rsid w:val="004D19E7"/>
    <w:rsid w:val="00524A6E"/>
    <w:rsid w:val="00627690"/>
    <w:rsid w:val="006639A0"/>
    <w:rsid w:val="006D606E"/>
    <w:rsid w:val="007C4496"/>
    <w:rsid w:val="007E31A3"/>
    <w:rsid w:val="00804B52"/>
    <w:rsid w:val="00936CE7"/>
    <w:rsid w:val="00970808"/>
    <w:rsid w:val="0097275C"/>
    <w:rsid w:val="00AB2B31"/>
    <w:rsid w:val="00AF0AD6"/>
    <w:rsid w:val="00B02F5C"/>
    <w:rsid w:val="00B53360"/>
    <w:rsid w:val="00B72685"/>
    <w:rsid w:val="00BA694F"/>
    <w:rsid w:val="00BF1E63"/>
    <w:rsid w:val="00C33AE2"/>
    <w:rsid w:val="00C35BC2"/>
    <w:rsid w:val="00C534AA"/>
    <w:rsid w:val="00CD64D9"/>
    <w:rsid w:val="00D62B78"/>
    <w:rsid w:val="00DA0079"/>
    <w:rsid w:val="00E44B02"/>
    <w:rsid w:val="00EF2074"/>
    <w:rsid w:val="00F4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2E87"/>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2E87"/>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834"/>
    <w:pPr>
      <w:ind w:left="720"/>
      <w:contextualSpacing/>
    </w:pPr>
  </w:style>
  <w:style w:type="paragraph" w:styleId="Header">
    <w:name w:val="header"/>
    <w:basedOn w:val="Normal"/>
    <w:link w:val="HeaderChar"/>
    <w:uiPriority w:val="99"/>
    <w:unhideWhenUsed/>
    <w:rsid w:val="00524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A6E"/>
  </w:style>
  <w:style w:type="paragraph" w:styleId="Footer">
    <w:name w:val="footer"/>
    <w:basedOn w:val="Normal"/>
    <w:link w:val="FooterChar"/>
    <w:uiPriority w:val="99"/>
    <w:unhideWhenUsed/>
    <w:rsid w:val="00524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A6E"/>
  </w:style>
  <w:style w:type="character" w:styleId="CommentReference">
    <w:name w:val="annotation reference"/>
    <w:basedOn w:val="DefaultParagraphFont"/>
    <w:uiPriority w:val="99"/>
    <w:semiHidden/>
    <w:unhideWhenUsed/>
    <w:rsid w:val="00460D50"/>
    <w:rPr>
      <w:sz w:val="16"/>
      <w:szCs w:val="16"/>
    </w:rPr>
  </w:style>
  <w:style w:type="paragraph" w:styleId="CommentText">
    <w:name w:val="annotation text"/>
    <w:basedOn w:val="Normal"/>
    <w:link w:val="CommentTextChar"/>
    <w:uiPriority w:val="99"/>
    <w:semiHidden/>
    <w:unhideWhenUsed/>
    <w:rsid w:val="00460D50"/>
    <w:pPr>
      <w:spacing w:line="240" w:lineRule="auto"/>
    </w:pPr>
    <w:rPr>
      <w:sz w:val="20"/>
      <w:szCs w:val="20"/>
    </w:rPr>
  </w:style>
  <w:style w:type="character" w:customStyle="1" w:styleId="CommentTextChar">
    <w:name w:val="Comment Text Char"/>
    <w:basedOn w:val="DefaultParagraphFont"/>
    <w:link w:val="CommentText"/>
    <w:uiPriority w:val="99"/>
    <w:semiHidden/>
    <w:rsid w:val="00460D50"/>
    <w:rPr>
      <w:sz w:val="20"/>
      <w:szCs w:val="20"/>
    </w:rPr>
  </w:style>
  <w:style w:type="paragraph" w:styleId="CommentSubject">
    <w:name w:val="annotation subject"/>
    <w:basedOn w:val="CommentText"/>
    <w:next w:val="CommentText"/>
    <w:link w:val="CommentSubjectChar"/>
    <w:uiPriority w:val="99"/>
    <w:semiHidden/>
    <w:unhideWhenUsed/>
    <w:rsid w:val="00460D50"/>
    <w:rPr>
      <w:b/>
      <w:bCs/>
    </w:rPr>
  </w:style>
  <w:style w:type="character" w:customStyle="1" w:styleId="CommentSubjectChar">
    <w:name w:val="Comment Subject Char"/>
    <w:basedOn w:val="CommentTextChar"/>
    <w:link w:val="CommentSubject"/>
    <w:uiPriority w:val="99"/>
    <w:semiHidden/>
    <w:rsid w:val="00460D50"/>
    <w:rPr>
      <w:b/>
      <w:bCs/>
      <w:sz w:val="20"/>
      <w:szCs w:val="20"/>
    </w:rPr>
  </w:style>
  <w:style w:type="paragraph" w:styleId="BalloonText">
    <w:name w:val="Balloon Text"/>
    <w:basedOn w:val="Normal"/>
    <w:link w:val="BalloonTextChar"/>
    <w:uiPriority w:val="99"/>
    <w:semiHidden/>
    <w:unhideWhenUsed/>
    <w:rsid w:val="0046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50"/>
    <w:rPr>
      <w:rFonts w:ascii="Tahoma" w:hAnsi="Tahoma" w:cs="Tahoma"/>
      <w:sz w:val="16"/>
      <w:szCs w:val="16"/>
    </w:rPr>
  </w:style>
  <w:style w:type="paragraph" w:styleId="NoSpacing">
    <w:name w:val="No Spacing"/>
    <w:uiPriority w:val="1"/>
    <w:qFormat/>
    <w:rsid w:val="00970808"/>
    <w:pPr>
      <w:spacing w:after="0" w:line="240" w:lineRule="auto"/>
    </w:pPr>
  </w:style>
  <w:style w:type="character" w:customStyle="1" w:styleId="Heading1Char">
    <w:name w:val="Heading 1 Char"/>
    <w:basedOn w:val="DefaultParagraphFont"/>
    <w:link w:val="Heading1"/>
    <w:uiPriority w:val="9"/>
    <w:rsid w:val="003E2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2E8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E2E87"/>
    <w:pPr>
      <w:spacing w:line="240" w:lineRule="auto"/>
      <w:ind w:left="284" w:right="284"/>
      <w:jc w:val="both"/>
    </w:pPr>
    <w:rPr>
      <w:rFonts w:ascii="Arial" w:hAnsi="Arial"/>
      <w:iCs/>
      <w:color w:val="000000" w:themeColor="text1"/>
      <w:sz w:val="24"/>
    </w:rPr>
  </w:style>
  <w:style w:type="character" w:customStyle="1" w:styleId="QuoteChar">
    <w:name w:val="Quote Char"/>
    <w:basedOn w:val="DefaultParagraphFont"/>
    <w:link w:val="Quote"/>
    <w:uiPriority w:val="29"/>
    <w:rsid w:val="003E2E87"/>
    <w:rPr>
      <w:rFonts w:ascii="Arial" w:hAnsi="Arial"/>
      <w:iCs/>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2E87"/>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2E87"/>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834"/>
    <w:pPr>
      <w:ind w:left="720"/>
      <w:contextualSpacing/>
    </w:pPr>
  </w:style>
  <w:style w:type="paragraph" w:styleId="Header">
    <w:name w:val="header"/>
    <w:basedOn w:val="Normal"/>
    <w:link w:val="HeaderChar"/>
    <w:uiPriority w:val="99"/>
    <w:unhideWhenUsed/>
    <w:rsid w:val="00524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A6E"/>
  </w:style>
  <w:style w:type="paragraph" w:styleId="Footer">
    <w:name w:val="footer"/>
    <w:basedOn w:val="Normal"/>
    <w:link w:val="FooterChar"/>
    <w:uiPriority w:val="99"/>
    <w:unhideWhenUsed/>
    <w:rsid w:val="00524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A6E"/>
  </w:style>
  <w:style w:type="character" w:styleId="CommentReference">
    <w:name w:val="annotation reference"/>
    <w:basedOn w:val="DefaultParagraphFont"/>
    <w:uiPriority w:val="99"/>
    <w:semiHidden/>
    <w:unhideWhenUsed/>
    <w:rsid w:val="00460D50"/>
    <w:rPr>
      <w:sz w:val="16"/>
      <w:szCs w:val="16"/>
    </w:rPr>
  </w:style>
  <w:style w:type="paragraph" w:styleId="CommentText">
    <w:name w:val="annotation text"/>
    <w:basedOn w:val="Normal"/>
    <w:link w:val="CommentTextChar"/>
    <w:uiPriority w:val="99"/>
    <w:semiHidden/>
    <w:unhideWhenUsed/>
    <w:rsid w:val="00460D50"/>
    <w:pPr>
      <w:spacing w:line="240" w:lineRule="auto"/>
    </w:pPr>
    <w:rPr>
      <w:sz w:val="20"/>
      <w:szCs w:val="20"/>
    </w:rPr>
  </w:style>
  <w:style w:type="character" w:customStyle="1" w:styleId="CommentTextChar">
    <w:name w:val="Comment Text Char"/>
    <w:basedOn w:val="DefaultParagraphFont"/>
    <w:link w:val="CommentText"/>
    <w:uiPriority w:val="99"/>
    <w:semiHidden/>
    <w:rsid w:val="00460D50"/>
    <w:rPr>
      <w:sz w:val="20"/>
      <w:szCs w:val="20"/>
    </w:rPr>
  </w:style>
  <w:style w:type="paragraph" w:styleId="CommentSubject">
    <w:name w:val="annotation subject"/>
    <w:basedOn w:val="CommentText"/>
    <w:next w:val="CommentText"/>
    <w:link w:val="CommentSubjectChar"/>
    <w:uiPriority w:val="99"/>
    <w:semiHidden/>
    <w:unhideWhenUsed/>
    <w:rsid w:val="00460D50"/>
    <w:rPr>
      <w:b/>
      <w:bCs/>
    </w:rPr>
  </w:style>
  <w:style w:type="character" w:customStyle="1" w:styleId="CommentSubjectChar">
    <w:name w:val="Comment Subject Char"/>
    <w:basedOn w:val="CommentTextChar"/>
    <w:link w:val="CommentSubject"/>
    <w:uiPriority w:val="99"/>
    <w:semiHidden/>
    <w:rsid w:val="00460D50"/>
    <w:rPr>
      <w:b/>
      <w:bCs/>
      <w:sz w:val="20"/>
      <w:szCs w:val="20"/>
    </w:rPr>
  </w:style>
  <w:style w:type="paragraph" w:styleId="BalloonText">
    <w:name w:val="Balloon Text"/>
    <w:basedOn w:val="Normal"/>
    <w:link w:val="BalloonTextChar"/>
    <w:uiPriority w:val="99"/>
    <w:semiHidden/>
    <w:unhideWhenUsed/>
    <w:rsid w:val="00460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50"/>
    <w:rPr>
      <w:rFonts w:ascii="Tahoma" w:hAnsi="Tahoma" w:cs="Tahoma"/>
      <w:sz w:val="16"/>
      <w:szCs w:val="16"/>
    </w:rPr>
  </w:style>
  <w:style w:type="paragraph" w:styleId="NoSpacing">
    <w:name w:val="No Spacing"/>
    <w:uiPriority w:val="1"/>
    <w:qFormat/>
    <w:rsid w:val="00970808"/>
    <w:pPr>
      <w:spacing w:after="0" w:line="240" w:lineRule="auto"/>
    </w:pPr>
  </w:style>
  <w:style w:type="character" w:customStyle="1" w:styleId="Heading1Char">
    <w:name w:val="Heading 1 Char"/>
    <w:basedOn w:val="DefaultParagraphFont"/>
    <w:link w:val="Heading1"/>
    <w:uiPriority w:val="9"/>
    <w:rsid w:val="003E2E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E2E87"/>
    <w:rPr>
      <w:rFonts w:asciiTheme="majorHAnsi" w:eastAsiaTheme="majorEastAsia" w:hAnsiTheme="majorHAnsi" w:cstheme="majorBidi"/>
      <w:b/>
      <w:bCs/>
      <w:color w:val="4F81BD" w:themeColor="accent1"/>
      <w:sz w:val="26"/>
      <w:szCs w:val="26"/>
    </w:rPr>
  </w:style>
  <w:style w:type="paragraph" w:styleId="Quote">
    <w:name w:val="Quote"/>
    <w:basedOn w:val="Normal"/>
    <w:next w:val="Normal"/>
    <w:link w:val="QuoteChar"/>
    <w:uiPriority w:val="29"/>
    <w:qFormat/>
    <w:rsid w:val="003E2E87"/>
    <w:pPr>
      <w:spacing w:line="240" w:lineRule="auto"/>
      <w:ind w:left="284" w:right="284"/>
      <w:jc w:val="both"/>
    </w:pPr>
    <w:rPr>
      <w:rFonts w:ascii="Arial" w:hAnsi="Arial"/>
      <w:iCs/>
      <w:color w:val="000000" w:themeColor="text1"/>
      <w:sz w:val="24"/>
    </w:rPr>
  </w:style>
  <w:style w:type="character" w:customStyle="1" w:styleId="QuoteChar">
    <w:name w:val="Quote Char"/>
    <w:basedOn w:val="DefaultParagraphFont"/>
    <w:link w:val="Quote"/>
    <w:uiPriority w:val="29"/>
    <w:rsid w:val="003E2E87"/>
    <w:rPr>
      <w:rFonts w:ascii="Arial" w:hAnsi="Arial"/>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9531">
      <w:bodyDiv w:val="1"/>
      <w:marLeft w:val="0"/>
      <w:marRight w:val="0"/>
      <w:marTop w:val="0"/>
      <w:marBottom w:val="0"/>
      <w:divBdr>
        <w:top w:val="none" w:sz="0" w:space="0" w:color="auto"/>
        <w:left w:val="none" w:sz="0" w:space="0" w:color="auto"/>
        <w:bottom w:val="none" w:sz="0" w:space="0" w:color="auto"/>
        <w:right w:val="none" w:sz="0" w:space="0" w:color="auto"/>
      </w:divBdr>
    </w:div>
    <w:div w:id="14448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26CCF750DBF43A383171AA0395DC0" ma:contentTypeVersion="1" ma:contentTypeDescription="Create a new document." ma:contentTypeScope="" ma:versionID="57835c7537996a77818212eb251fc5bd">
  <xsd:schema xmlns:xsd="http://www.w3.org/2001/XMLSchema" xmlns:xs="http://www.w3.org/2001/XMLSchema" xmlns:p="http://schemas.microsoft.com/office/2006/metadata/properties" xmlns:ns2="87d676f8-512b-406f-b716-0c849fb1bb18" targetNamespace="http://schemas.microsoft.com/office/2006/metadata/properties" ma:root="true" ma:fieldsID="10543e5e2e69d4bb99b3651e83d2a946" ns2:_="">
    <xsd:import namespace="87d676f8-512b-406f-b716-0c849fb1bb18"/>
    <xsd:element name="properties">
      <xsd:complexType>
        <xsd:sequence>
          <xsd:element name="documentManagement">
            <xsd:complexType>
              <xsd:all>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676f8-512b-406f-b716-0c849fb1bb18" elementFormDefault="qualified">
    <xsd:import namespace="http://schemas.microsoft.com/office/2006/documentManagement/types"/>
    <xsd:import namespace="http://schemas.microsoft.com/office/infopath/2007/PartnerControls"/>
    <xsd:element name="DELETE" ma:index="8" nillable="true" ma:displayName="DELETE" ma:default="0" ma:internalName="DE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d676f8-512b-406f-b716-0c849fb1bb18">false</DELETE>
  </documentManagement>
</p:properties>
</file>

<file path=customXml/itemProps1.xml><?xml version="1.0" encoding="utf-8"?>
<ds:datastoreItem xmlns:ds="http://schemas.openxmlformats.org/officeDocument/2006/customXml" ds:itemID="{47D3C897-7B29-49A0-95BF-94A113FC5DFA}"/>
</file>

<file path=customXml/itemProps2.xml><?xml version="1.0" encoding="utf-8"?>
<ds:datastoreItem xmlns:ds="http://schemas.openxmlformats.org/officeDocument/2006/customXml" ds:itemID="{82051CB3-D0F2-4D43-9CAB-7BA0563A2E49}"/>
</file>

<file path=customXml/itemProps3.xml><?xml version="1.0" encoding="utf-8"?>
<ds:datastoreItem xmlns:ds="http://schemas.openxmlformats.org/officeDocument/2006/customXml" ds:itemID="{C5575CB4-ADF4-4AD4-817B-5EA1B58CF671}"/>
</file>

<file path=docProps/app.xml><?xml version="1.0" encoding="utf-8"?>
<Properties xmlns="http://schemas.openxmlformats.org/officeDocument/2006/extended-properties" xmlns:vt="http://schemas.openxmlformats.org/officeDocument/2006/docPropsVTypes">
  <Template>Normal</Template>
  <TotalTime>8</TotalTime>
  <Pages>2</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Hass</cp:lastModifiedBy>
  <cp:revision>3</cp:revision>
  <dcterms:created xsi:type="dcterms:W3CDTF">2013-05-16T09:43:00Z</dcterms:created>
  <dcterms:modified xsi:type="dcterms:W3CDTF">2013-08-07T11:16:00Z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0x0101000E326CCF750DBF43A383171AA0395DC0</vt:lpwstr>
  </property>
</Properties>
</file>